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9167C" w14:textId="77777777" w:rsidR="00672E02" w:rsidRPr="00DF78E8" w:rsidRDefault="00672E02" w:rsidP="00672E02">
      <w:pPr>
        <w:jc w:val="center"/>
        <w:rPr>
          <w:rFonts w:cstheme="minorHAnsi"/>
          <w:color w:val="2E74B5" w:themeColor="accent1" w:themeShade="BF"/>
        </w:rPr>
      </w:pPr>
    </w:p>
    <w:p w14:paraId="25704583" w14:textId="77777777" w:rsidR="00672E02" w:rsidRPr="00DF78E8" w:rsidRDefault="00672E02" w:rsidP="00672E02">
      <w:pPr>
        <w:jc w:val="center"/>
        <w:rPr>
          <w:rFonts w:cstheme="minorHAnsi"/>
          <w:color w:val="2E74B5" w:themeColor="accent1" w:themeShade="BF"/>
        </w:rPr>
      </w:pPr>
    </w:p>
    <w:p w14:paraId="5F278619" w14:textId="77777777" w:rsidR="00672E02" w:rsidRPr="00DF78E8" w:rsidRDefault="00672E02" w:rsidP="00672E02">
      <w:pPr>
        <w:jc w:val="center"/>
        <w:rPr>
          <w:rFonts w:cstheme="minorHAnsi"/>
          <w:color w:val="2E74B5" w:themeColor="accent1" w:themeShade="BF"/>
        </w:rPr>
      </w:pPr>
    </w:p>
    <w:p w14:paraId="0A504490" w14:textId="77777777" w:rsidR="00672E02" w:rsidRPr="00DF78E8" w:rsidRDefault="00672E02" w:rsidP="00672E02">
      <w:pPr>
        <w:jc w:val="center"/>
        <w:rPr>
          <w:rFonts w:cstheme="minorHAnsi"/>
          <w:color w:val="2E74B5" w:themeColor="accent1" w:themeShade="BF"/>
        </w:rPr>
      </w:pPr>
    </w:p>
    <w:p w14:paraId="44631171" w14:textId="77777777" w:rsidR="00672E02" w:rsidRPr="00DF78E8" w:rsidRDefault="00672E02" w:rsidP="00672E02">
      <w:pPr>
        <w:jc w:val="center"/>
        <w:rPr>
          <w:rFonts w:cstheme="minorHAnsi"/>
          <w:color w:val="2E74B5" w:themeColor="accent1" w:themeShade="BF"/>
        </w:rPr>
      </w:pPr>
    </w:p>
    <w:p w14:paraId="27A100AE" w14:textId="77777777" w:rsidR="00672E02" w:rsidRPr="00DF78E8" w:rsidRDefault="00672E02" w:rsidP="00672E02">
      <w:pPr>
        <w:jc w:val="center"/>
        <w:rPr>
          <w:rFonts w:cstheme="minorHAnsi"/>
          <w:color w:val="2E74B5" w:themeColor="accent1" w:themeShade="BF"/>
        </w:rPr>
      </w:pPr>
    </w:p>
    <w:p w14:paraId="66A3EAE0" w14:textId="77777777" w:rsidR="00672E02" w:rsidRPr="00DF78E8" w:rsidRDefault="00672E02" w:rsidP="00672E02">
      <w:pPr>
        <w:jc w:val="center"/>
        <w:rPr>
          <w:rFonts w:cstheme="minorHAnsi"/>
          <w:color w:val="2E74B5" w:themeColor="accent1" w:themeShade="BF"/>
        </w:rPr>
      </w:pPr>
    </w:p>
    <w:p w14:paraId="39768125" w14:textId="77777777" w:rsidR="00672E02" w:rsidRPr="00DF78E8" w:rsidRDefault="00672E02" w:rsidP="00672E02">
      <w:pPr>
        <w:jc w:val="center"/>
        <w:rPr>
          <w:rFonts w:cstheme="minorHAnsi"/>
          <w:color w:val="2E74B5" w:themeColor="accent1" w:themeShade="BF"/>
        </w:rPr>
      </w:pPr>
    </w:p>
    <w:p w14:paraId="12454641" w14:textId="77777777" w:rsidR="00672E02" w:rsidRPr="00DF78E8" w:rsidRDefault="00672E02" w:rsidP="00672E02">
      <w:pPr>
        <w:jc w:val="center"/>
        <w:rPr>
          <w:rFonts w:cstheme="minorHAnsi"/>
          <w:color w:val="2E74B5" w:themeColor="accent1" w:themeShade="BF"/>
        </w:rPr>
      </w:pPr>
    </w:p>
    <w:p w14:paraId="06A4EEFA" w14:textId="77777777" w:rsidR="00672E02" w:rsidRPr="00DF78E8" w:rsidRDefault="00672E02" w:rsidP="00672E02">
      <w:pPr>
        <w:jc w:val="center"/>
        <w:rPr>
          <w:rFonts w:cstheme="minorHAnsi"/>
          <w:color w:val="2E74B5" w:themeColor="accent1" w:themeShade="BF"/>
        </w:rPr>
      </w:pPr>
    </w:p>
    <w:p w14:paraId="0070AB9D" w14:textId="0A24298F" w:rsidR="00672E02" w:rsidRPr="0005397F" w:rsidRDefault="00672E02" w:rsidP="00672E02">
      <w:pPr>
        <w:jc w:val="center"/>
        <w:rPr>
          <w:rFonts w:cstheme="minorHAnsi"/>
          <w:color w:val="2E74B5" w:themeColor="accent1" w:themeShade="BF"/>
          <w:sz w:val="48"/>
          <w:szCs w:val="48"/>
        </w:rPr>
      </w:pPr>
      <w:r w:rsidRPr="0005397F">
        <w:rPr>
          <w:rFonts w:cstheme="minorHAnsi"/>
          <w:color w:val="2E74B5" w:themeColor="accent1" w:themeShade="BF"/>
          <w:sz w:val="48"/>
          <w:szCs w:val="48"/>
        </w:rPr>
        <w:t>Terme</w:t>
      </w:r>
      <w:bookmarkStart w:id="0" w:name="_GoBack"/>
      <w:bookmarkEnd w:id="0"/>
      <w:r w:rsidRPr="0005397F">
        <w:rPr>
          <w:rFonts w:cstheme="minorHAnsi"/>
          <w:color w:val="2E74B5" w:themeColor="accent1" w:themeShade="BF"/>
          <w:sz w:val="48"/>
          <w:szCs w:val="48"/>
        </w:rPr>
        <w:t xml:space="preserve">s de référence pour le recrutement d’un </w:t>
      </w:r>
      <w:r w:rsidR="004B6C73">
        <w:rPr>
          <w:rFonts w:cstheme="minorHAnsi"/>
          <w:color w:val="2E74B5" w:themeColor="accent1" w:themeShade="BF"/>
          <w:sz w:val="48"/>
          <w:szCs w:val="48"/>
        </w:rPr>
        <w:t xml:space="preserve">consultant </w:t>
      </w:r>
      <w:r w:rsidRPr="0005397F">
        <w:rPr>
          <w:rFonts w:cstheme="minorHAnsi"/>
          <w:color w:val="2E74B5" w:themeColor="accent1" w:themeShade="BF"/>
          <w:sz w:val="48"/>
          <w:szCs w:val="48"/>
        </w:rPr>
        <w:t xml:space="preserve">chargé d’appuyer </w:t>
      </w:r>
      <w:r w:rsidR="00A16EFB" w:rsidRPr="0005397F">
        <w:rPr>
          <w:rFonts w:cstheme="minorHAnsi"/>
          <w:color w:val="2E74B5" w:themeColor="accent1" w:themeShade="BF"/>
          <w:sz w:val="48"/>
          <w:szCs w:val="48"/>
        </w:rPr>
        <w:t>la Direction de la Planification et de la Coopération</w:t>
      </w:r>
      <w:r w:rsidR="004B6C73">
        <w:rPr>
          <w:rFonts w:cstheme="minorHAnsi"/>
          <w:color w:val="2E74B5" w:themeColor="accent1" w:themeShade="BF"/>
          <w:sz w:val="48"/>
          <w:szCs w:val="48"/>
        </w:rPr>
        <w:t xml:space="preserve"> au sein du Ministère de la Santé</w:t>
      </w:r>
    </w:p>
    <w:p w14:paraId="69986890" w14:textId="77777777" w:rsidR="0005397F" w:rsidRDefault="0005397F">
      <w:pPr>
        <w:rPr>
          <w:rFonts w:cstheme="minorHAnsi"/>
          <w:color w:val="2E74B5" w:themeColor="accent1" w:themeShade="BF"/>
        </w:rPr>
      </w:pPr>
    </w:p>
    <w:p w14:paraId="1A76AF87" w14:textId="77777777" w:rsidR="0005397F" w:rsidRDefault="0005397F">
      <w:pPr>
        <w:rPr>
          <w:rFonts w:cstheme="minorHAnsi"/>
          <w:color w:val="2E74B5" w:themeColor="accent1" w:themeShade="BF"/>
        </w:rPr>
      </w:pPr>
    </w:p>
    <w:p w14:paraId="555CA87B" w14:textId="77777777" w:rsidR="0005397F" w:rsidRDefault="0005397F">
      <w:pPr>
        <w:rPr>
          <w:rFonts w:cstheme="minorHAnsi"/>
          <w:color w:val="2E74B5" w:themeColor="accent1" w:themeShade="BF"/>
        </w:rPr>
      </w:pPr>
    </w:p>
    <w:p w14:paraId="621DDD85" w14:textId="77777777" w:rsidR="0005397F" w:rsidRDefault="0005397F">
      <w:pPr>
        <w:rPr>
          <w:rFonts w:cstheme="minorHAnsi"/>
          <w:color w:val="2E74B5" w:themeColor="accent1" w:themeShade="BF"/>
        </w:rPr>
      </w:pPr>
    </w:p>
    <w:p w14:paraId="4E5DA526" w14:textId="77777777" w:rsidR="0005397F" w:rsidRDefault="0005397F">
      <w:pPr>
        <w:rPr>
          <w:rFonts w:cstheme="minorHAnsi"/>
          <w:color w:val="2E74B5" w:themeColor="accent1" w:themeShade="BF"/>
        </w:rPr>
      </w:pPr>
    </w:p>
    <w:p w14:paraId="76E71718" w14:textId="77777777" w:rsidR="0005397F" w:rsidRDefault="0005397F">
      <w:pPr>
        <w:rPr>
          <w:rFonts w:cstheme="minorHAnsi"/>
          <w:color w:val="2E74B5" w:themeColor="accent1" w:themeShade="BF"/>
        </w:rPr>
      </w:pPr>
    </w:p>
    <w:p w14:paraId="04AF9374" w14:textId="77777777" w:rsidR="0005397F" w:rsidRDefault="0005397F">
      <w:pPr>
        <w:rPr>
          <w:rFonts w:cstheme="minorHAnsi"/>
          <w:color w:val="2E74B5" w:themeColor="accent1" w:themeShade="BF"/>
        </w:rPr>
      </w:pPr>
    </w:p>
    <w:p w14:paraId="7D7461C0" w14:textId="1A6DE324" w:rsidR="00672E02" w:rsidRPr="00DF78E8" w:rsidRDefault="00672E02">
      <w:pPr>
        <w:rPr>
          <w:rFonts w:cstheme="minorHAnsi"/>
          <w:color w:val="2E74B5" w:themeColor="accent1" w:themeShade="BF"/>
        </w:rPr>
      </w:pPr>
      <w:r w:rsidRPr="00DF78E8">
        <w:rPr>
          <w:rFonts w:cstheme="minorHAnsi"/>
          <w:color w:val="2E74B5" w:themeColor="accent1" w:themeShade="BF"/>
        </w:rPr>
        <w:br w:type="page"/>
      </w:r>
    </w:p>
    <w:p w14:paraId="74D6FA09" w14:textId="77777777" w:rsidR="0026295B" w:rsidRPr="00DF78E8" w:rsidRDefault="0026295B" w:rsidP="0060463D">
      <w:pPr>
        <w:pBdr>
          <w:bottom w:val="single" w:sz="4" w:space="1" w:color="auto"/>
        </w:pBdr>
        <w:jc w:val="both"/>
        <w:rPr>
          <w:rFonts w:cstheme="minorHAnsi"/>
          <w:color w:val="2E74B5" w:themeColor="accent1" w:themeShade="BF"/>
        </w:rPr>
      </w:pPr>
      <w:r w:rsidRPr="00DF78E8">
        <w:rPr>
          <w:rFonts w:cstheme="minorHAnsi"/>
          <w:color w:val="2E74B5" w:themeColor="accent1" w:themeShade="BF"/>
        </w:rPr>
        <w:lastRenderedPageBreak/>
        <w:t>Contexte et justification</w:t>
      </w:r>
    </w:p>
    <w:p w14:paraId="7643173D" w14:textId="77777777" w:rsidR="00A16EFB" w:rsidRPr="00DF78E8" w:rsidRDefault="00A16EFB" w:rsidP="00A16EFB">
      <w:pPr>
        <w:jc w:val="both"/>
        <w:rPr>
          <w:rFonts w:cstheme="minorHAnsi"/>
        </w:rPr>
      </w:pPr>
      <w:r w:rsidRPr="00DF78E8">
        <w:rPr>
          <w:rFonts w:cstheme="minorHAnsi"/>
        </w:rPr>
        <w:t>L’Etat de santé de la population mauritanienne reste globalement marqué par : des taux encore élevés de morbidité́ et de mortalité́ maternelle, néonatale et infanto-juvénile ; une persistance du fardeau des maladies transmissibles et un accroissement rapide des Maladies Non Transmissibles, qui pour la plupart sont des maladies chroniques à soins couteux. Ces situations sont en deçà des ambitions du pays et loin de contribuer à l’atteinte des cibles de l’ODD 3 « santé et bien-être »</w:t>
      </w:r>
    </w:p>
    <w:p w14:paraId="06DF75A0" w14:textId="77777777" w:rsidR="00A16EFB" w:rsidRPr="00DF78E8" w:rsidRDefault="000D2525" w:rsidP="00A16EFB">
      <w:pPr>
        <w:jc w:val="both"/>
        <w:rPr>
          <w:rFonts w:cstheme="minorHAnsi"/>
        </w:rPr>
      </w:pPr>
      <w:r w:rsidRPr="00DF78E8">
        <w:rPr>
          <w:rFonts w:cstheme="minorHAnsi"/>
        </w:rPr>
        <w:t>Par ailleurs</w:t>
      </w:r>
      <w:r w:rsidR="00A16EFB" w:rsidRPr="00DF78E8">
        <w:rPr>
          <w:rFonts w:cstheme="minorHAnsi"/>
        </w:rPr>
        <w:t>, l'accès à des services de santé de qualité reste un défi à tous les niveaux des soins, avec des obstacles impactant la demande tels que les inégalités géographiques, financières et économiques qui persistent. Les ménages soutiennent 51 % des dépenses budgétaires du pays. En conséquence, les couvertures des interventions sanitaires à fort impact sont encore faibles et limitées dans leur portée.</w:t>
      </w:r>
    </w:p>
    <w:p w14:paraId="45B03558" w14:textId="09A0E773" w:rsidR="009F4AB4" w:rsidRDefault="009C75C9" w:rsidP="00E8093B">
      <w:pPr>
        <w:jc w:val="both"/>
        <w:rPr>
          <w:rFonts w:cstheme="minorHAnsi"/>
        </w:rPr>
      </w:pPr>
      <w:r w:rsidRPr="00DF78E8">
        <w:rPr>
          <w:rFonts w:cstheme="minorHAnsi"/>
        </w:rPr>
        <w:t>Le Ministère de la Santé (MS) a élaboré, avec l’appui de ses partenaires techniques et financiers, un Plan National de Développement Sanitaire (PNDS) couvrant la période 2021-2030</w:t>
      </w:r>
      <w:r w:rsidR="004960BF" w:rsidRPr="00DF78E8">
        <w:rPr>
          <w:rFonts w:cstheme="minorHAnsi"/>
        </w:rPr>
        <w:t xml:space="preserve"> et dont les objectifs se réaliseront par la mise en œuvre de </w:t>
      </w:r>
      <w:r w:rsidR="006B1939" w:rsidRPr="00DF78E8">
        <w:rPr>
          <w:rFonts w:cstheme="minorHAnsi"/>
        </w:rPr>
        <w:t>plusieurs dont celui relatif à « l’Amélioration de la Gouvernance de l’accès équitable aux services de santé de qualité »</w:t>
      </w:r>
    </w:p>
    <w:p w14:paraId="7CDBD35B" w14:textId="77777777" w:rsidR="00415358" w:rsidRPr="00DF78E8" w:rsidRDefault="00415358" w:rsidP="00E8093B">
      <w:pPr>
        <w:jc w:val="both"/>
        <w:rPr>
          <w:rFonts w:cstheme="minorHAnsi"/>
        </w:rPr>
      </w:pPr>
    </w:p>
    <w:p w14:paraId="13FB4FFB" w14:textId="77777777" w:rsidR="00B14169" w:rsidRPr="00DF78E8" w:rsidRDefault="00B14169" w:rsidP="0060463D">
      <w:pPr>
        <w:pBdr>
          <w:bottom w:val="single" w:sz="4" w:space="1" w:color="auto"/>
        </w:pBdr>
        <w:jc w:val="both"/>
        <w:rPr>
          <w:rFonts w:cstheme="minorHAnsi"/>
          <w:color w:val="2E74B5" w:themeColor="accent1" w:themeShade="BF"/>
        </w:rPr>
      </w:pPr>
      <w:r w:rsidRPr="00DF78E8">
        <w:rPr>
          <w:rFonts w:cstheme="minorHAnsi"/>
          <w:color w:val="2E74B5" w:themeColor="accent1" w:themeShade="BF"/>
        </w:rPr>
        <w:t>Description du besoin</w:t>
      </w:r>
    </w:p>
    <w:p w14:paraId="2B380FF3" w14:textId="77777777" w:rsidR="00144D63" w:rsidRPr="00DF78E8" w:rsidRDefault="00B14169" w:rsidP="00144D63">
      <w:pPr>
        <w:jc w:val="both"/>
        <w:rPr>
          <w:rFonts w:cstheme="minorHAnsi"/>
        </w:rPr>
      </w:pPr>
      <w:r w:rsidRPr="00DF78E8">
        <w:rPr>
          <w:rFonts w:cstheme="minorHAnsi"/>
        </w:rPr>
        <w:t>L</w:t>
      </w:r>
      <w:r w:rsidR="00144D63" w:rsidRPr="00DF78E8">
        <w:rPr>
          <w:rFonts w:cstheme="minorHAnsi"/>
        </w:rPr>
        <w:t xml:space="preserve">e leadership et la Gouvernance du système de santé et le concernent la capacité du Ministère de la Santé à impulser, à coordonner, à susciter l’adhésion des parties prenantes au développement sanitaire. Il s’agit aussi de la mise en place d’institutions, des mesures, des règles, des organes de décision, d’information et de suivi afin d’assurer le bon fonctionnement du Ministère et de respecter les droits à la santé de la population, en termes de redevabilité, de transparence et de participation citoyenne. </w:t>
      </w:r>
    </w:p>
    <w:p w14:paraId="20C8A6DC" w14:textId="77777777" w:rsidR="00371F01" w:rsidRPr="00DF78E8" w:rsidRDefault="00E42374" w:rsidP="00B14169">
      <w:pPr>
        <w:jc w:val="both"/>
        <w:rPr>
          <w:rFonts w:cstheme="minorHAnsi"/>
        </w:rPr>
      </w:pPr>
      <w:r w:rsidRPr="00DF78E8">
        <w:rPr>
          <w:rFonts w:cstheme="minorHAnsi"/>
        </w:rPr>
        <w:t>Cependant les analyses situationnelles du secteur de la santé effectuées ces dernières années ont montré que cet important pilier présente d’énormes lacunes.</w:t>
      </w:r>
    </w:p>
    <w:p w14:paraId="4CB607A2" w14:textId="18484D30" w:rsidR="00B14169" w:rsidRDefault="00E42374" w:rsidP="00B14169">
      <w:pPr>
        <w:jc w:val="both"/>
        <w:rPr>
          <w:rFonts w:cstheme="minorHAnsi"/>
        </w:rPr>
      </w:pPr>
      <w:r w:rsidRPr="00DF78E8">
        <w:rPr>
          <w:rFonts w:cstheme="minorHAnsi"/>
        </w:rPr>
        <w:t xml:space="preserve">Le renforcement de la Direction en charge du leadership et la Gouvernance du système de santé s’avère nécessaire pour renforcer le pilotage du secteur et faciliter l’atteinte des objectifs fixés par le Département. </w:t>
      </w:r>
    </w:p>
    <w:p w14:paraId="28C5D91F" w14:textId="77777777" w:rsidR="00415358" w:rsidRPr="00DF78E8" w:rsidRDefault="00415358" w:rsidP="00B14169">
      <w:pPr>
        <w:jc w:val="both"/>
        <w:rPr>
          <w:rFonts w:cstheme="minorHAnsi"/>
        </w:rPr>
      </w:pPr>
    </w:p>
    <w:p w14:paraId="7E4FB727" w14:textId="77777777" w:rsidR="009F4AB4" w:rsidRPr="00DF78E8" w:rsidRDefault="009F4AB4" w:rsidP="0060463D">
      <w:pPr>
        <w:pBdr>
          <w:bottom w:val="single" w:sz="4" w:space="1" w:color="auto"/>
        </w:pBdr>
        <w:jc w:val="both"/>
        <w:rPr>
          <w:rFonts w:cstheme="minorHAnsi"/>
          <w:color w:val="2E74B5" w:themeColor="accent1" w:themeShade="BF"/>
        </w:rPr>
      </w:pPr>
      <w:r w:rsidRPr="00DF78E8">
        <w:rPr>
          <w:rFonts w:cstheme="minorHAnsi"/>
          <w:color w:val="2E74B5" w:themeColor="accent1" w:themeShade="BF"/>
        </w:rPr>
        <w:t>Objectif</w:t>
      </w:r>
      <w:r w:rsidR="0060463D" w:rsidRPr="00DF78E8">
        <w:rPr>
          <w:rFonts w:cstheme="minorHAnsi"/>
          <w:color w:val="2E74B5" w:themeColor="accent1" w:themeShade="BF"/>
        </w:rPr>
        <w:t>s</w:t>
      </w:r>
    </w:p>
    <w:p w14:paraId="5332432F" w14:textId="77777777" w:rsidR="008D7E28" w:rsidRPr="00DF78E8" w:rsidRDefault="009F4AB4" w:rsidP="00201695">
      <w:pPr>
        <w:jc w:val="both"/>
        <w:rPr>
          <w:rFonts w:cstheme="minorHAnsi"/>
        </w:rPr>
      </w:pPr>
      <w:r w:rsidRPr="00DF78E8">
        <w:rPr>
          <w:rFonts w:cstheme="minorHAnsi"/>
        </w:rPr>
        <w:t>L’objectif général de cette assistance technique est d’</w:t>
      </w:r>
      <w:r w:rsidR="008D7E28" w:rsidRPr="00DF78E8">
        <w:rPr>
          <w:rFonts w:cstheme="minorHAnsi"/>
        </w:rPr>
        <w:t xml:space="preserve">apporter un appui continu à la Direction de la Planification et de la Coopération. </w:t>
      </w:r>
    </w:p>
    <w:p w14:paraId="4A485131" w14:textId="77777777" w:rsidR="009F4AB4" w:rsidRPr="00DF78E8" w:rsidRDefault="009F4AB4" w:rsidP="00201695">
      <w:pPr>
        <w:jc w:val="both"/>
        <w:rPr>
          <w:rFonts w:cstheme="minorHAnsi"/>
        </w:rPr>
      </w:pPr>
      <w:r w:rsidRPr="00DF78E8">
        <w:rPr>
          <w:rFonts w:cstheme="minorHAnsi"/>
        </w:rPr>
        <w:t xml:space="preserve">Spécifiquement, il s’agit, </w:t>
      </w:r>
      <w:r w:rsidR="008D7E28" w:rsidRPr="00DF78E8">
        <w:rPr>
          <w:rFonts w:cstheme="minorHAnsi"/>
        </w:rPr>
        <w:t xml:space="preserve">d’accompagner la Direction de la Planification et de la Coopération </w:t>
      </w:r>
      <w:r w:rsidR="0052551E" w:rsidRPr="00DF78E8">
        <w:rPr>
          <w:rFonts w:cstheme="minorHAnsi"/>
        </w:rPr>
        <w:t xml:space="preserve">dans la réalisation des principales missions : </w:t>
      </w:r>
      <w:r w:rsidRPr="00DF78E8">
        <w:rPr>
          <w:rFonts w:cstheme="minorHAnsi"/>
        </w:rPr>
        <w:t xml:space="preserve"> </w:t>
      </w:r>
    </w:p>
    <w:p w14:paraId="535FACF3" w14:textId="492733F5" w:rsidR="0052551E" w:rsidRDefault="0052551E" w:rsidP="0052551E">
      <w:pPr>
        <w:pStyle w:val="Paragraphedeliste"/>
        <w:numPr>
          <w:ilvl w:val="0"/>
          <w:numId w:val="5"/>
        </w:numPr>
        <w:spacing w:after="0" w:line="276" w:lineRule="auto"/>
        <w:jc w:val="both"/>
        <w:rPr>
          <w:rFonts w:cstheme="minorHAnsi"/>
        </w:rPr>
      </w:pPr>
      <w:r w:rsidRPr="00DF78E8">
        <w:rPr>
          <w:rFonts w:cstheme="minorHAnsi"/>
        </w:rPr>
        <w:t>De conduire le processus de planification depuis l’élaboration de la Politique Nationale de Santé et du Plan National de Développement Sanitaire jusqu’à l’obtention des plans d’actions annuels pour chaque Moughataa, chaque Wilaya, chaque établissement publics et chaque entité centrale du Ministère de la Santé ;</w:t>
      </w:r>
    </w:p>
    <w:p w14:paraId="0001129A" w14:textId="44335432" w:rsidR="00415358" w:rsidRDefault="00415358" w:rsidP="00415358">
      <w:pPr>
        <w:pStyle w:val="Paragraphedeliste"/>
        <w:spacing w:after="0" w:line="276" w:lineRule="auto"/>
        <w:jc w:val="both"/>
        <w:rPr>
          <w:rFonts w:cstheme="minorHAnsi"/>
        </w:rPr>
      </w:pPr>
    </w:p>
    <w:p w14:paraId="0031C920" w14:textId="77777777" w:rsidR="00415358" w:rsidRPr="00DF78E8" w:rsidRDefault="00415358" w:rsidP="00415358">
      <w:pPr>
        <w:pStyle w:val="Paragraphedeliste"/>
        <w:spacing w:after="0" w:line="276" w:lineRule="auto"/>
        <w:jc w:val="both"/>
        <w:rPr>
          <w:rFonts w:cstheme="minorHAnsi"/>
        </w:rPr>
      </w:pPr>
    </w:p>
    <w:p w14:paraId="6AE99249" w14:textId="77777777" w:rsidR="00415358" w:rsidRDefault="00415358" w:rsidP="007A42FA">
      <w:pPr>
        <w:pStyle w:val="Paragraphedeliste"/>
        <w:spacing w:after="0" w:line="276" w:lineRule="auto"/>
        <w:jc w:val="both"/>
        <w:rPr>
          <w:rFonts w:cstheme="minorHAnsi"/>
        </w:rPr>
      </w:pPr>
    </w:p>
    <w:p w14:paraId="4F267642" w14:textId="77777777" w:rsidR="00415358" w:rsidRDefault="00415358" w:rsidP="00415358">
      <w:pPr>
        <w:pStyle w:val="Paragraphedeliste"/>
        <w:spacing w:after="0" w:line="276" w:lineRule="auto"/>
        <w:jc w:val="both"/>
        <w:rPr>
          <w:rFonts w:cstheme="minorHAnsi"/>
        </w:rPr>
      </w:pPr>
    </w:p>
    <w:p w14:paraId="696B3476" w14:textId="77777777" w:rsidR="00415358" w:rsidRDefault="00415358" w:rsidP="00415358">
      <w:pPr>
        <w:pStyle w:val="Paragraphedeliste"/>
        <w:spacing w:after="0" w:line="276" w:lineRule="auto"/>
        <w:jc w:val="both"/>
        <w:rPr>
          <w:rFonts w:cstheme="minorHAnsi"/>
        </w:rPr>
      </w:pPr>
    </w:p>
    <w:p w14:paraId="187AD28D" w14:textId="1193AD47" w:rsidR="0052551E" w:rsidRPr="00DF78E8" w:rsidRDefault="0052551E" w:rsidP="0052551E">
      <w:pPr>
        <w:pStyle w:val="Paragraphedeliste"/>
        <w:numPr>
          <w:ilvl w:val="0"/>
          <w:numId w:val="5"/>
        </w:numPr>
        <w:spacing w:after="0" w:line="276" w:lineRule="auto"/>
        <w:jc w:val="both"/>
        <w:rPr>
          <w:rFonts w:cstheme="minorHAnsi"/>
        </w:rPr>
      </w:pPr>
      <w:r w:rsidRPr="00DF78E8">
        <w:rPr>
          <w:rFonts w:cstheme="minorHAnsi"/>
        </w:rPr>
        <w:t>D’appuyer et d’accompagner techniquement toute structure administrative ou technique exprimant le besoin d’appui technique pour mener son processus de planification ;</w:t>
      </w:r>
    </w:p>
    <w:p w14:paraId="3AEC30C2" w14:textId="77777777" w:rsidR="0052551E" w:rsidRPr="00DF78E8" w:rsidRDefault="0052551E" w:rsidP="0052551E">
      <w:pPr>
        <w:pStyle w:val="Paragraphedeliste"/>
        <w:numPr>
          <w:ilvl w:val="0"/>
          <w:numId w:val="5"/>
        </w:numPr>
        <w:spacing w:after="0" w:line="276" w:lineRule="auto"/>
        <w:jc w:val="both"/>
        <w:rPr>
          <w:rFonts w:cstheme="minorHAnsi"/>
        </w:rPr>
      </w:pPr>
      <w:r w:rsidRPr="00DF78E8">
        <w:rPr>
          <w:rFonts w:cstheme="minorHAnsi"/>
        </w:rPr>
        <w:t>De piloter la programmation budgétaire annuelle, en particulier l’élaboration du budget annuel, sur la base du plan d’action annuel et en concertation avec les différentes entités centrales ;</w:t>
      </w:r>
    </w:p>
    <w:p w14:paraId="12174B89" w14:textId="470C5A49" w:rsidR="0052551E" w:rsidRPr="00DF78E8" w:rsidRDefault="0052551E" w:rsidP="0052551E">
      <w:pPr>
        <w:pStyle w:val="Paragraphedeliste"/>
        <w:numPr>
          <w:ilvl w:val="0"/>
          <w:numId w:val="5"/>
        </w:numPr>
        <w:spacing w:after="0" w:line="276" w:lineRule="auto"/>
        <w:jc w:val="both"/>
        <w:rPr>
          <w:rFonts w:cstheme="minorHAnsi"/>
        </w:rPr>
      </w:pPr>
      <w:r w:rsidRPr="00DF78E8">
        <w:rPr>
          <w:rFonts w:cstheme="minorHAnsi"/>
        </w:rPr>
        <w:t xml:space="preserve">De piloter le processus de suivi de la mise en œuvre du plan d’action en collaboration avec </w:t>
      </w:r>
      <w:r w:rsidR="00EF15DC" w:rsidRPr="00DF78E8">
        <w:rPr>
          <w:rFonts w:cstheme="minorHAnsi"/>
        </w:rPr>
        <w:t xml:space="preserve">le Secrétariat Général (coordonnateur des Directions supports) et </w:t>
      </w:r>
      <w:r w:rsidRPr="00DF78E8">
        <w:rPr>
          <w:rFonts w:cstheme="minorHAnsi"/>
        </w:rPr>
        <w:t>les différentes directions générales chacun en ce qui l</w:t>
      </w:r>
      <w:r w:rsidR="00EF15DC" w:rsidRPr="00DF78E8">
        <w:rPr>
          <w:rFonts w:cstheme="minorHAnsi"/>
        </w:rPr>
        <w:t>e</w:t>
      </w:r>
      <w:r w:rsidRPr="00DF78E8">
        <w:rPr>
          <w:rFonts w:cstheme="minorHAnsi"/>
        </w:rPr>
        <w:t xml:space="preserve"> concerne ;</w:t>
      </w:r>
    </w:p>
    <w:p w14:paraId="22B97E12" w14:textId="77777777" w:rsidR="0052551E" w:rsidRPr="00DF78E8" w:rsidRDefault="0052551E" w:rsidP="0052551E">
      <w:pPr>
        <w:pStyle w:val="Paragraphedeliste"/>
        <w:numPr>
          <w:ilvl w:val="0"/>
          <w:numId w:val="5"/>
        </w:numPr>
        <w:spacing w:after="0" w:line="276" w:lineRule="auto"/>
        <w:jc w:val="both"/>
        <w:rPr>
          <w:rFonts w:cstheme="minorHAnsi"/>
        </w:rPr>
      </w:pPr>
      <w:r w:rsidRPr="00DF78E8">
        <w:rPr>
          <w:rFonts w:cstheme="minorHAnsi"/>
        </w:rPr>
        <w:t>De coordonner l’aide publique au développement qu’elle soit bilatérale ou multilatérale, et à ce titre, piloter et coordonner les missions de coopération technique venant ou partant de la Mauritanie.</w:t>
      </w:r>
    </w:p>
    <w:p w14:paraId="41262DF7" w14:textId="77777777" w:rsidR="0052551E" w:rsidRPr="00DF78E8" w:rsidRDefault="0052551E" w:rsidP="00201695">
      <w:pPr>
        <w:jc w:val="both"/>
        <w:rPr>
          <w:rFonts w:cstheme="minorHAnsi"/>
        </w:rPr>
      </w:pPr>
    </w:p>
    <w:p w14:paraId="70BE23C3" w14:textId="77777777" w:rsidR="00201695" w:rsidRPr="00DF78E8" w:rsidRDefault="00201695" w:rsidP="0060463D">
      <w:pPr>
        <w:pBdr>
          <w:bottom w:val="single" w:sz="4" w:space="1" w:color="auto"/>
        </w:pBdr>
        <w:jc w:val="both"/>
        <w:rPr>
          <w:rFonts w:cstheme="minorHAnsi"/>
          <w:color w:val="2E74B5" w:themeColor="accent1" w:themeShade="BF"/>
        </w:rPr>
      </w:pPr>
      <w:r w:rsidRPr="00DF78E8">
        <w:rPr>
          <w:rFonts w:cstheme="minorHAnsi"/>
          <w:color w:val="2E74B5" w:themeColor="accent1" w:themeShade="BF"/>
        </w:rPr>
        <w:t>Résultats attendus</w:t>
      </w:r>
    </w:p>
    <w:p w14:paraId="496ED12C" w14:textId="77777777" w:rsidR="00201695" w:rsidRPr="00DF78E8" w:rsidRDefault="00047917" w:rsidP="00201695">
      <w:pPr>
        <w:jc w:val="both"/>
        <w:rPr>
          <w:rFonts w:cstheme="minorHAnsi"/>
        </w:rPr>
      </w:pPr>
      <w:r w:rsidRPr="00DF78E8">
        <w:rPr>
          <w:rFonts w:cstheme="minorHAnsi"/>
        </w:rPr>
        <w:t>Le</w:t>
      </w:r>
      <w:r w:rsidR="000D2525" w:rsidRPr="00DF78E8">
        <w:rPr>
          <w:rFonts w:cstheme="minorHAnsi"/>
        </w:rPr>
        <w:t>s capacités de la Direction de la Planification et de la Coopération sont renforcées</w:t>
      </w:r>
      <w:r w:rsidR="0026295B" w:rsidRPr="00DF78E8">
        <w:rPr>
          <w:rFonts w:cstheme="minorHAnsi"/>
        </w:rPr>
        <w:t>,</w:t>
      </w:r>
    </w:p>
    <w:p w14:paraId="3B5B5D07" w14:textId="0DBF850F" w:rsidR="00201695" w:rsidRPr="00DF78E8" w:rsidRDefault="00047917" w:rsidP="00201695">
      <w:pPr>
        <w:jc w:val="both"/>
        <w:rPr>
          <w:rFonts w:cstheme="minorHAnsi"/>
        </w:rPr>
      </w:pPr>
      <w:r w:rsidRPr="00DF78E8">
        <w:rPr>
          <w:rFonts w:cstheme="minorHAnsi"/>
        </w:rPr>
        <w:t>Le</w:t>
      </w:r>
      <w:r w:rsidR="005F33D0" w:rsidRPr="00DF78E8">
        <w:rPr>
          <w:rFonts w:cstheme="minorHAnsi"/>
        </w:rPr>
        <w:t>s reformes programmées dans le PNDS 202</w:t>
      </w:r>
      <w:r w:rsidR="004C19FB" w:rsidRPr="00DF78E8">
        <w:rPr>
          <w:rFonts w:cstheme="minorHAnsi"/>
        </w:rPr>
        <w:t>2</w:t>
      </w:r>
      <w:r w:rsidR="005F33D0" w:rsidRPr="00DF78E8">
        <w:rPr>
          <w:rFonts w:cstheme="minorHAnsi"/>
        </w:rPr>
        <w:t>-2030 sont mises en œuvre selon le calendrier établi,</w:t>
      </w:r>
    </w:p>
    <w:p w14:paraId="3B0C996E" w14:textId="77777777" w:rsidR="005F33D0" w:rsidRPr="00DF78E8" w:rsidRDefault="005F33D0" w:rsidP="00201695">
      <w:pPr>
        <w:jc w:val="both"/>
        <w:rPr>
          <w:rFonts w:cstheme="minorHAnsi"/>
        </w:rPr>
      </w:pPr>
      <w:r w:rsidRPr="00DF78E8">
        <w:rPr>
          <w:rFonts w:cstheme="minorHAnsi"/>
        </w:rPr>
        <w:t>Le processus de planification et du suivi de la mise en œuvre du PNDS est facilité</w:t>
      </w:r>
    </w:p>
    <w:p w14:paraId="6D66DA2A" w14:textId="50C8917F" w:rsidR="005F33D0" w:rsidRDefault="005F33D0" w:rsidP="00201695">
      <w:pPr>
        <w:jc w:val="both"/>
        <w:rPr>
          <w:rFonts w:cstheme="minorHAnsi"/>
        </w:rPr>
      </w:pPr>
      <w:r w:rsidRPr="00DF78E8">
        <w:rPr>
          <w:rFonts w:cstheme="minorHAnsi"/>
        </w:rPr>
        <w:t>Le partenariat et la mobilisation des ressources pour le secteur de la santé sont renforcés</w:t>
      </w:r>
    </w:p>
    <w:p w14:paraId="39828DED" w14:textId="77777777" w:rsidR="00415358" w:rsidRPr="00DF78E8" w:rsidRDefault="00415358" w:rsidP="00201695">
      <w:pPr>
        <w:jc w:val="both"/>
        <w:rPr>
          <w:rFonts w:cstheme="minorHAnsi"/>
        </w:rPr>
      </w:pPr>
    </w:p>
    <w:p w14:paraId="1DCC68DB" w14:textId="77777777" w:rsidR="00652E7B" w:rsidRPr="00DF78E8" w:rsidRDefault="005F33D0" w:rsidP="00652E7B">
      <w:pPr>
        <w:pBdr>
          <w:bottom w:val="single" w:sz="4" w:space="1" w:color="auto"/>
        </w:pBdr>
        <w:jc w:val="both"/>
        <w:rPr>
          <w:rFonts w:cstheme="minorHAnsi"/>
          <w:color w:val="2E74B5" w:themeColor="accent1" w:themeShade="BF"/>
        </w:rPr>
      </w:pPr>
      <w:r w:rsidRPr="00DF78E8">
        <w:rPr>
          <w:rFonts w:cstheme="minorHAnsi"/>
          <w:color w:val="2E74B5" w:themeColor="accent1" w:themeShade="BF"/>
        </w:rPr>
        <w:t>Profil du consultant</w:t>
      </w:r>
    </w:p>
    <w:p w14:paraId="45DF6D1B" w14:textId="77777777" w:rsidR="005469BB" w:rsidRPr="00DF78E8" w:rsidRDefault="005F33D0" w:rsidP="00E8093B">
      <w:pPr>
        <w:jc w:val="both"/>
        <w:rPr>
          <w:rFonts w:cstheme="minorHAnsi"/>
        </w:rPr>
      </w:pPr>
      <w:r w:rsidRPr="00DF78E8">
        <w:rPr>
          <w:rFonts w:cstheme="minorHAnsi"/>
        </w:rPr>
        <w:t xml:space="preserve">Diplôme requis : Avoir au minimum un BAC+5 en santé publique, économie de la santé ou en gestion des projets </w:t>
      </w:r>
    </w:p>
    <w:p w14:paraId="27696C97" w14:textId="77777777" w:rsidR="00047917" w:rsidRPr="00DF78E8" w:rsidRDefault="005F33D0" w:rsidP="00E8093B">
      <w:pPr>
        <w:jc w:val="both"/>
        <w:rPr>
          <w:rFonts w:cstheme="minorHAnsi"/>
        </w:rPr>
      </w:pPr>
      <w:r w:rsidRPr="00DF78E8">
        <w:rPr>
          <w:rFonts w:cstheme="minorHAnsi"/>
        </w:rPr>
        <w:t xml:space="preserve">Expérience professionnelle : Avoir </w:t>
      </w:r>
      <w:r w:rsidR="00A42794" w:rsidRPr="00DF78E8">
        <w:rPr>
          <w:rFonts w:cstheme="minorHAnsi"/>
        </w:rPr>
        <w:t xml:space="preserve">une bonne connaissance du système de santé et </w:t>
      </w:r>
      <w:r w:rsidRPr="00DF78E8">
        <w:rPr>
          <w:rFonts w:cstheme="minorHAnsi"/>
        </w:rPr>
        <w:t xml:space="preserve">au moins 5 ans d’expérience dans la gestion des </w:t>
      </w:r>
      <w:r w:rsidR="00A42794" w:rsidRPr="00DF78E8">
        <w:rPr>
          <w:rFonts w:cstheme="minorHAnsi"/>
        </w:rPr>
        <w:t>projets et programmes de santé</w:t>
      </w:r>
    </w:p>
    <w:p w14:paraId="1277B726" w14:textId="3EDDB019" w:rsidR="00672E02" w:rsidRPr="00DF78E8" w:rsidRDefault="00F62587" w:rsidP="00672E02">
      <w:pPr>
        <w:jc w:val="both"/>
        <w:rPr>
          <w:rFonts w:cstheme="minorHAnsi"/>
        </w:rPr>
      </w:pPr>
      <w:r w:rsidRPr="00DF78E8">
        <w:rPr>
          <w:rFonts w:cstheme="minorHAnsi"/>
        </w:rPr>
        <w:t>Avoir une très bonne connaissance du processus et des outils de Planification et Suivi-Evaluation</w:t>
      </w:r>
      <w:r w:rsidR="00EF15DC" w:rsidRPr="00DF78E8">
        <w:rPr>
          <w:rFonts w:cstheme="minorHAnsi"/>
        </w:rPr>
        <w:t xml:space="preserve"> dans une démarche de gestion du changement</w:t>
      </w:r>
      <w:r w:rsidR="00047917" w:rsidRPr="00DF78E8">
        <w:rPr>
          <w:rFonts w:cstheme="minorHAnsi"/>
        </w:rPr>
        <w:t>.</w:t>
      </w:r>
    </w:p>
    <w:p w14:paraId="15B9DB90" w14:textId="6CF3111A" w:rsidR="00F62587" w:rsidRPr="00DF78E8" w:rsidRDefault="00F62587" w:rsidP="005178A1">
      <w:pPr>
        <w:jc w:val="both"/>
        <w:rPr>
          <w:rFonts w:cstheme="minorHAnsi"/>
        </w:rPr>
      </w:pPr>
      <w:r w:rsidRPr="00DF78E8">
        <w:rPr>
          <w:rFonts w:cstheme="minorHAnsi"/>
        </w:rPr>
        <w:t xml:space="preserve">Avoir une expérience avérée dans le partenariat et la mobilisation des ressources et des procédures des bailleurs de fond internationaux </w:t>
      </w:r>
    </w:p>
    <w:p w14:paraId="1628E3FA" w14:textId="77777777" w:rsidR="00B14169" w:rsidRPr="00DF78E8" w:rsidRDefault="00F62587" w:rsidP="001B45CA">
      <w:pPr>
        <w:pBdr>
          <w:bottom w:val="single" w:sz="4" w:space="1" w:color="auto"/>
        </w:pBdr>
        <w:jc w:val="both"/>
        <w:rPr>
          <w:rFonts w:cstheme="minorHAnsi"/>
          <w:color w:val="2E74B5" w:themeColor="accent1" w:themeShade="BF"/>
        </w:rPr>
      </w:pPr>
      <w:r w:rsidRPr="00DF78E8">
        <w:rPr>
          <w:rFonts w:cstheme="minorHAnsi"/>
          <w:color w:val="2E74B5" w:themeColor="accent1" w:themeShade="BF"/>
        </w:rPr>
        <w:t xml:space="preserve">Durée </w:t>
      </w:r>
    </w:p>
    <w:p w14:paraId="39BEBE4B" w14:textId="5D928EFC" w:rsidR="009F4AB4" w:rsidRDefault="00F62587" w:rsidP="00E8093B">
      <w:pPr>
        <w:jc w:val="both"/>
        <w:rPr>
          <w:rFonts w:cstheme="minorHAnsi"/>
        </w:rPr>
      </w:pPr>
      <w:r w:rsidRPr="00DF78E8">
        <w:rPr>
          <w:rFonts w:cstheme="minorHAnsi"/>
        </w:rPr>
        <w:t xml:space="preserve">Il s’agira d’un contrat </w:t>
      </w:r>
      <w:r w:rsidR="00DF78E8" w:rsidRPr="00DF78E8">
        <w:rPr>
          <w:rFonts w:cstheme="minorHAnsi"/>
        </w:rPr>
        <w:t>d’un</w:t>
      </w:r>
      <w:r w:rsidRPr="00DF78E8">
        <w:rPr>
          <w:rFonts w:cstheme="minorHAnsi"/>
        </w:rPr>
        <w:t xml:space="preserve"> an renouvelable si la Direction de la Planification et de la Coopération exprime le besoin et que le financement est disponible</w:t>
      </w:r>
      <w:r w:rsidR="00652E7B" w:rsidRPr="00DF78E8">
        <w:rPr>
          <w:rFonts w:cstheme="minorHAnsi"/>
        </w:rPr>
        <w:t>.</w:t>
      </w:r>
    </w:p>
    <w:p w14:paraId="5A844418" w14:textId="1F3531CD" w:rsidR="00C76560" w:rsidRDefault="00C76560" w:rsidP="00E8093B">
      <w:pPr>
        <w:jc w:val="both"/>
        <w:rPr>
          <w:rFonts w:cstheme="minorHAnsi"/>
        </w:rPr>
      </w:pPr>
    </w:p>
    <w:p w14:paraId="56C43A39" w14:textId="40FA71C0" w:rsidR="00C76560" w:rsidRDefault="00C76560" w:rsidP="00E8093B">
      <w:pPr>
        <w:jc w:val="both"/>
        <w:rPr>
          <w:rFonts w:cstheme="minorHAnsi"/>
        </w:rPr>
      </w:pPr>
    </w:p>
    <w:p w14:paraId="62EAB2CE" w14:textId="60DA83CB" w:rsidR="00C76560" w:rsidRDefault="00C76560" w:rsidP="00E8093B">
      <w:pPr>
        <w:jc w:val="both"/>
        <w:rPr>
          <w:rFonts w:cstheme="minorHAnsi"/>
        </w:rPr>
      </w:pPr>
    </w:p>
    <w:p w14:paraId="39FEDF5C" w14:textId="77777777" w:rsidR="00C76560" w:rsidRPr="00DF78E8" w:rsidRDefault="00C76560" w:rsidP="00E8093B">
      <w:pPr>
        <w:jc w:val="both"/>
        <w:rPr>
          <w:rFonts w:cstheme="minorHAnsi"/>
        </w:rPr>
      </w:pPr>
    </w:p>
    <w:p w14:paraId="6597203B" w14:textId="1C4854F0" w:rsidR="00C062DE" w:rsidRPr="00DF78E8" w:rsidRDefault="00C76560" w:rsidP="00C062DE">
      <w:pPr>
        <w:pBdr>
          <w:bottom w:val="single" w:sz="4" w:space="1" w:color="auto"/>
        </w:pBdr>
        <w:jc w:val="both"/>
        <w:rPr>
          <w:rFonts w:cstheme="minorHAnsi"/>
          <w:color w:val="2E74B5" w:themeColor="accent1" w:themeShade="BF"/>
        </w:rPr>
      </w:pPr>
      <w:r>
        <w:rPr>
          <w:rFonts w:cstheme="minorHAnsi"/>
          <w:color w:val="2E74B5" w:themeColor="accent1" w:themeShade="BF"/>
        </w:rPr>
        <w:lastRenderedPageBreak/>
        <w:t>Livrables</w:t>
      </w:r>
    </w:p>
    <w:p w14:paraId="6BFCA80C" w14:textId="63BBEC9B" w:rsidR="00C76560" w:rsidRPr="00C76560" w:rsidRDefault="00C76560" w:rsidP="00C76560">
      <w:pPr>
        <w:jc w:val="both"/>
        <w:rPr>
          <w:rFonts w:cstheme="minorHAnsi"/>
        </w:rPr>
      </w:pPr>
      <w:r>
        <w:rPr>
          <w:rFonts w:cstheme="minorHAnsi"/>
        </w:rPr>
        <w:t xml:space="preserve">1. </w:t>
      </w:r>
      <w:r w:rsidRPr="00C76560">
        <w:rPr>
          <w:rFonts w:cstheme="minorHAnsi"/>
        </w:rPr>
        <w:t>Un rapport mensuel et final, détaillé faisant ressortir les résultats attendus.</w:t>
      </w:r>
    </w:p>
    <w:p w14:paraId="62EB008E" w14:textId="4D5A626C" w:rsidR="00C062DE" w:rsidRDefault="00C76560" w:rsidP="00C76560">
      <w:pPr>
        <w:jc w:val="both"/>
        <w:rPr>
          <w:rFonts w:cstheme="minorHAnsi"/>
        </w:rPr>
      </w:pPr>
      <w:r>
        <w:rPr>
          <w:rFonts w:cstheme="minorHAnsi"/>
        </w:rPr>
        <w:t xml:space="preserve">2. </w:t>
      </w:r>
      <w:r w:rsidRPr="00C76560">
        <w:rPr>
          <w:rFonts w:cstheme="minorHAnsi"/>
        </w:rPr>
        <w:t>Rapports de missions terrain (si des missions sont réalisées)</w:t>
      </w:r>
      <w:r w:rsidR="009D6B9E">
        <w:rPr>
          <w:rFonts w:cstheme="minorHAnsi"/>
        </w:rPr>
        <w:t>.</w:t>
      </w:r>
    </w:p>
    <w:p w14:paraId="6640C355" w14:textId="77777777" w:rsidR="00C76560" w:rsidRPr="00DF78E8" w:rsidRDefault="00C76560" w:rsidP="00C76560">
      <w:pPr>
        <w:jc w:val="both"/>
        <w:rPr>
          <w:rFonts w:cstheme="minorHAnsi"/>
        </w:rPr>
      </w:pPr>
    </w:p>
    <w:p w14:paraId="6C81259E" w14:textId="77777777" w:rsidR="003C271A" w:rsidRPr="00DF78E8" w:rsidRDefault="003C271A" w:rsidP="003C271A">
      <w:pPr>
        <w:pBdr>
          <w:bottom w:val="single" w:sz="4" w:space="1" w:color="auto"/>
        </w:pBdr>
        <w:jc w:val="both"/>
        <w:rPr>
          <w:rFonts w:cstheme="minorHAnsi"/>
          <w:color w:val="2E74B5" w:themeColor="accent1" w:themeShade="BF"/>
        </w:rPr>
      </w:pPr>
      <w:r w:rsidRPr="00DF78E8">
        <w:rPr>
          <w:rFonts w:cstheme="minorHAnsi"/>
          <w:color w:val="2E74B5" w:themeColor="accent1" w:themeShade="BF"/>
        </w:rPr>
        <w:t>Organisation</w:t>
      </w:r>
    </w:p>
    <w:p w14:paraId="318D1D07" w14:textId="77777777" w:rsidR="00C062DE" w:rsidRPr="00DF78E8" w:rsidRDefault="003C271A" w:rsidP="003C271A">
      <w:pPr>
        <w:jc w:val="both"/>
        <w:rPr>
          <w:rFonts w:cstheme="minorHAnsi"/>
        </w:rPr>
      </w:pPr>
      <w:r w:rsidRPr="00DF78E8">
        <w:rPr>
          <w:rFonts w:cstheme="minorHAnsi"/>
        </w:rPr>
        <w:t>Le</w:t>
      </w:r>
      <w:r w:rsidR="00F62587" w:rsidRPr="00DF78E8">
        <w:rPr>
          <w:rFonts w:cstheme="minorHAnsi"/>
        </w:rPr>
        <w:t xml:space="preserve"> consultant travaillera sous la supervision du Directeur de la Planification et de la Coopération</w:t>
      </w:r>
    </w:p>
    <w:p w14:paraId="0D9F6E7C" w14:textId="5BAADF6A" w:rsidR="00FD188C" w:rsidRPr="00DF78E8" w:rsidRDefault="00C062DE" w:rsidP="00C062DE">
      <w:pPr>
        <w:jc w:val="both"/>
        <w:rPr>
          <w:rFonts w:cstheme="minorHAnsi"/>
        </w:rPr>
      </w:pPr>
      <w:r w:rsidRPr="00DF78E8">
        <w:rPr>
          <w:rFonts w:cstheme="minorHAnsi"/>
        </w:rPr>
        <w:t xml:space="preserve">La Direction de la Planification et de la Coopération mettra à la disposition du consultant toute la logistique nécessaire pour travailler dans de bonne condition. </w:t>
      </w:r>
    </w:p>
    <w:p w14:paraId="67813614" w14:textId="4451F7ED" w:rsidR="00A61E4B" w:rsidRPr="00DF78E8" w:rsidRDefault="00A61E4B" w:rsidP="00A61E4B">
      <w:pPr>
        <w:jc w:val="both"/>
        <w:rPr>
          <w:rFonts w:cstheme="minorHAnsi"/>
        </w:rPr>
      </w:pPr>
    </w:p>
    <w:sectPr w:rsidR="00A61E4B" w:rsidRPr="00DF78E8" w:rsidSect="0060463D">
      <w:footerReference w:type="default" r:id="rId7"/>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2CF62" w14:textId="77777777" w:rsidR="007D2B97" w:rsidRDefault="007D2B97" w:rsidP="0005397F">
      <w:pPr>
        <w:spacing w:after="0" w:line="240" w:lineRule="auto"/>
      </w:pPr>
      <w:r>
        <w:separator/>
      </w:r>
    </w:p>
  </w:endnote>
  <w:endnote w:type="continuationSeparator" w:id="0">
    <w:p w14:paraId="2DB983E0" w14:textId="77777777" w:rsidR="007D2B97" w:rsidRDefault="007D2B97" w:rsidP="00053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03DDE" w14:textId="693D97E6" w:rsidR="0005397F" w:rsidRDefault="0005397F">
    <w:pPr>
      <w:pStyle w:val="Pieddepage"/>
    </w:pPr>
    <w:r>
      <w:rPr>
        <w:noProof/>
        <w:lang w:eastAsia="fr-FR"/>
      </w:rPr>
      <w:drawing>
        <wp:inline distT="0" distB="0" distL="0" distR="0" wp14:anchorId="1E3F46C1" wp14:editId="683ADDAE">
          <wp:extent cx="1035635" cy="487680"/>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787" cy="494344"/>
                  </a:xfrm>
                  <a:prstGeom prst="rect">
                    <a:avLst/>
                  </a:prstGeom>
                  <a:noFill/>
                  <a:ln>
                    <a:noFill/>
                  </a:ln>
                </pic:spPr>
              </pic:pic>
            </a:graphicData>
          </a:graphic>
        </wp:inline>
      </w:drawing>
    </w:r>
    <w:r>
      <w:t xml:space="preserve">                                                                                                      </w:t>
    </w:r>
    <w:r w:rsidR="00415358">
      <w:t xml:space="preserve">                 </w:t>
    </w:r>
    <w:r>
      <w:t xml:space="preserve"> </w:t>
    </w:r>
    <w:r>
      <w:rPr>
        <w:noProof/>
        <w:lang w:eastAsia="fr-FR"/>
      </w:rPr>
      <w:drawing>
        <wp:inline distT="0" distB="0" distL="0" distR="0" wp14:anchorId="0DC623E8" wp14:editId="3B4B3CA2">
          <wp:extent cx="660071" cy="441960"/>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922" cy="445877"/>
                  </a:xfrm>
                  <a:prstGeom prst="rect">
                    <a:avLst/>
                  </a:prstGeom>
                  <a:noFill/>
                  <a:ln>
                    <a:noFill/>
                  </a:ln>
                </pic:spPr>
              </pic:pic>
            </a:graphicData>
          </a:graphic>
        </wp:inline>
      </w:drawing>
    </w:r>
  </w:p>
  <w:p w14:paraId="5078D733" w14:textId="0981AEA1" w:rsidR="0005397F" w:rsidRDefault="0005397F">
    <w:pPr>
      <w:pStyle w:val="Pieddepage"/>
      <w:rPr>
        <w:sz w:val="18"/>
        <w:szCs w:val="18"/>
      </w:rPr>
    </w:pPr>
    <w:r>
      <w:tab/>
    </w:r>
    <w:r w:rsidRPr="0005397F">
      <w:rPr>
        <w:sz w:val="18"/>
        <w:szCs w:val="18"/>
      </w:rPr>
      <w:t xml:space="preserve">                                                          </w:t>
    </w:r>
    <w:r>
      <w:rPr>
        <w:sz w:val="18"/>
        <w:szCs w:val="18"/>
      </w:rPr>
      <w:t xml:space="preserve">                                                                                      </w:t>
    </w:r>
    <w:r w:rsidR="00415358">
      <w:rPr>
        <w:sz w:val="18"/>
        <w:szCs w:val="18"/>
      </w:rPr>
      <w:t xml:space="preserve">                                          </w:t>
    </w:r>
    <w:r>
      <w:rPr>
        <w:sz w:val="18"/>
        <w:szCs w:val="18"/>
      </w:rPr>
      <w:t xml:space="preserve"> </w:t>
    </w:r>
    <w:r w:rsidRPr="0005397F">
      <w:rPr>
        <w:sz w:val="18"/>
        <w:szCs w:val="18"/>
      </w:rPr>
      <w:t xml:space="preserve">Financé par l’Union </w:t>
    </w:r>
  </w:p>
  <w:p w14:paraId="7BD1DEB5" w14:textId="2F73D436" w:rsidR="0005397F" w:rsidRPr="0005397F" w:rsidRDefault="0005397F">
    <w:pPr>
      <w:pStyle w:val="Pieddepage"/>
      <w:rPr>
        <w:sz w:val="18"/>
        <w:szCs w:val="18"/>
      </w:rPr>
    </w:pPr>
    <w:r>
      <w:rPr>
        <w:sz w:val="18"/>
        <w:szCs w:val="18"/>
      </w:rPr>
      <w:t xml:space="preserve">                                                                                                                                                                      </w:t>
    </w:r>
    <w:r w:rsidR="00415358">
      <w:rPr>
        <w:sz w:val="18"/>
        <w:szCs w:val="18"/>
      </w:rPr>
      <w:t xml:space="preserve">                     </w:t>
    </w:r>
    <w:proofErr w:type="gramStart"/>
    <w:r w:rsidRPr="0005397F">
      <w:rPr>
        <w:sz w:val="18"/>
        <w:szCs w:val="18"/>
      </w:rPr>
      <w:t>européen</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A2894" w14:textId="77777777" w:rsidR="007D2B97" w:rsidRDefault="007D2B97" w:rsidP="0005397F">
      <w:pPr>
        <w:spacing w:after="0" w:line="240" w:lineRule="auto"/>
      </w:pPr>
      <w:r>
        <w:separator/>
      </w:r>
    </w:p>
  </w:footnote>
  <w:footnote w:type="continuationSeparator" w:id="0">
    <w:p w14:paraId="564C045C" w14:textId="77777777" w:rsidR="007D2B97" w:rsidRDefault="007D2B97" w:rsidP="00053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A5F7D"/>
    <w:multiLevelType w:val="hybridMultilevel"/>
    <w:tmpl w:val="EBBAF6F4"/>
    <w:lvl w:ilvl="0" w:tplc="8254353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5F271F"/>
    <w:multiLevelType w:val="hybridMultilevel"/>
    <w:tmpl w:val="1682DF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544BF4"/>
    <w:multiLevelType w:val="hybridMultilevel"/>
    <w:tmpl w:val="40F2F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2E4DB1"/>
    <w:multiLevelType w:val="hybridMultilevel"/>
    <w:tmpl w:val="AD3ECC0E"/>
    <w:lvl w:ilvl="0" w:tplc="8254353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341B8A"/>
    <w:multiLevelType w:val="hybridMultilevel"/>
    <w:tmpl w:val="7302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E4B"/>
    <w:rsid w:val="00001C36"/>
    <w:rsid w:val="00034058"/>
    <w:rsid w:val="00047917"/>
    <w:rsid w:val="0005397F"/>
    <w:rsid w:val="000D2525"/>
    <w:rsid w:val="0010042A"/>
    <w:rsid w:val="001104CA"/>
    <w:rsid w:val="00144D63"/>
    <w:rsid w:val="001B45CA"/>
    <w:rsid w:val="001B7F11"/>
    <w:rsid w:val="00201695"/>
    <w:rsid w:val="00221279"/>
    <w:rsid w:val="00243B7B"/>
    <w:rsid w:val="0026295B"/>
    <w:rsid w:val="00371F01"/>
    <w:rsid w:val="003C271A"/>
    <w:rsid w:val="003E5CBB"/>
    <w:rsid w:val="00415358"/>
    <w:rsid w:val="004853B0"/>
    <w:rsid w:val="004960BF"/>
    <w:rsid w:val="004B6C73"/>
    <w:rsid w:val="004C19FB"/>
    <w:rsid w:val="004C4FB0"/>
    <w:rsid w:val="004D2839"/>
    <w:rsid w:val="005178A1"/>
    <w:rsid w:val="005229AA"/>
    <w:rsid w:val="0052551E"/>
    <w:rsid w:val="005469BB"/>
    <w:rsid w:val="005D3353"/>
    <w:rsid w:val="005E6C50"/>
    <w:rsid w:val="005F33D0"/>
    <w:rsid w:val="0060463D"/>
    <w:rsid w:val="00652E7B"/>
    <w:rsid w:val="00672E02"/>
    <w:rsid w:val="006A36C6"/>
    <w:rsid w:val="006B1939"/>
    <w:rsid w:val="007A42FA"/>
    <w:rsid w:val="007C2F8E"/>
    <w:rsid w:val="007D2B97"/>
    <w:rsid w:val="007D56D6"/>
    <w:rsid w:val="007D7A18"/>
    <w:rsid w:val="0081062A"/>
    <w:rsid w:val="00825238"/>
    <w:rsid w:val="0084126B"/>
    <w:rsid w:val="00855503"/>
    <w:rsid w:val="00870303"/>
    <w:rsid w:val="008D7E28"/>
    <w:rsid w:val="009101F4"/>
    <w:rsid w:val="00993F67"/>
    <w:rsid w:val="009C75C9"/>
    <w:rsid w:val="009D6B9E"/>
    <w:rsid w:val="009F4AB4"/>
    <w:rsid w:val="00A16EFB"/>
    <w:rsid w:val="00A42794"/>
    <w:rsid w:val="00A5770F"/>
    <w:rsid w:val="00A61E4B"/>
    <w:rsid w:val="00AA61CE"/>
    <w:rsid w:val="00B14169"/>
    <w:rsid w:val="00B805E8"/>
    <w:rsid w:val="00B93EE1"/>
    <w:rsid w:val="00BB6E93"/>
    <w:rsid w:val="00BD56FF"/>
    <w:rsid w:val="00BF0B28"/>
    <w:rsid w:val="00C062DE"/>
    <w:rsid w:val="00C30A0E"/>
    <w:rsid w:val="00C71E99"/>
    <w:rsid w:val="00C76560"/>
    <w:rsid w:val="00DF78E8"/>
    <w:rsid w:val="00E42374"/>
    <w:rsid w:val="00E8093B"/>
    <w:rsid w:val="00EC4580"/>
    <w:rsid w:val="00EE2A77"/>
    <w:rsid w:val="00EF15DC"/>
    <w:rsid w:val="00F62587"/>
    <w:rsid w:val="00F75255"/>
    <w:rsid w:val="00FB2595"/>
    <w:rsid w:val="00FC3AA6"/>
    <w:rsid w:val="00FD18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E7DB"/>
  <w15:chartTrackingRefBased/>
  <w15:docId w15:val="{2026D8AD-B33A-4115-866F-554F6A9D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1695"/>
    <w:pPr>
      <w:ind w:left="720"/>
      <w:contextualSpacing/>
    </w:pPr>
  </w:style>
  <w:style w:type="paragraph" w:customStyle="1" w:styleId="Default">
    <w:name w:val="Default"/>
    <w:rsid w:val="003C271A"/>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EF15DC"/>
    <w:pPr>
      <w:spacing w:after="0" w:line="240" w:lineRule="auto"/>
    </w:pPr>
  </w:style>
  <w:style w:type="paragraph" w:styleId="En-tte">
    <w:name w:val="header"/>
    <w:basedOn w:val="Normal"/>
    <w:link w:val="En-tteCar"/>
    <w:uiPriority w:val="99"/>
    <w:unhideWhenUsed/>
    <w:rsid w:val="0005397F"/>
    <w:pPr>
      <w:tabs>
        <w:tab w:val="center" w:pos="4513"/>
        <w:tab w:val="right" w:pos="9026"/>
      </w:tabs>
      <w:spacing w:after="0" w:line="240" w:lineRule="auto"/>
    </w:pPr>
  </w:style>
  <w:style w:type="character" w:customStyle="1" w:styleId="En-tteCar">
    <w:name w:val="En-tête Car"/>
    <w:basedOn w:val="Policepardfaut"/>
    <w:link w:val="En-tte"/>
    <w:uiPriority w:val="99"/>
    <w:rsid w:val="0005397F"/>
  </w:style>
  <w:style w:type="paragraph" w:styleId="Pieddepage">
    <w:name w:val="footer"/>
    <w:basedOn w:val="Normal"/>
    <w:link w:val="PieddepageCar"/>
    <w:uiPriority w:val="99"/>
    <w:unhideWhenUsed/>
    <w:rsid w:val="0005397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5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4515</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Ahmedou Diya</dc:creator>
  <cp:keywords/>
  <dc:description/>
  <cp:lastModifiedBy>lenovo</cp:lastModifiedBy>
  <cp:revision>2</cp:revision>
  <dcterms:created xsi:type="dcterms:W3CDTF">2022-11-16T11:57:00Z</dcterms:created>
  <dcterms:modified xsi:type="dcterms:W3CDTF">2022-11-16T11:57:00Z</dcterms:modified>
</cp:coreProperties>
</file>